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337"/>
        <w:gridCol w:w="5488"/>
        <w:gridCol w:w="6570"/>
      </w:tblGrid>
      <w:tr w:rsidR="00B4194C" w:rsidTr="00B4194C">
        <w:tc>
          <w:tcPr>
            <w:tcW w:w="1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94C" w:rsidRDefault="00B4194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D06C8B">
              <w:rPr>
                <w:rFonts w:ascii="Tw Cen MT" w:hAnsi="Tw Cen MT"/>
                <w:b/>
                <w:sz w:val="24"/>
                <w:szCs w:val="24"/>
              </w:rPr>
              <w:t xml:space="preserve">All GEAR UP activities must have paper documentation to verify student, family, and staff participation. The paper documentation is used to enter participation in the WSAC-GEAR UP Portal. The table below summarizes the documentation requirements. </w:t>
            </w:r>
          </w:p>
          <w:p w:rsidR="00B4194C" w:rsidRPr="00B4194C" w:rsidRDefault="00B4194C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5542" w:rsidTr="00B4194C">
        <w:tc>
          <w:tcPr>
            <w:tcW w:w="2337" w:type="dxa"/>
            <w:tcBorders>
              <w:top w:val="single" w:sz="4" w:space="0" w:color="auto"/>
            </w:tcBorders>
          </w:tcPr>
          <w:p w:rsidR="00645542" w:rsidRPr="00645542" w:rsidRDefault="00645542">
            <w:pPr>
              <w:rPr>
                <w:b/>
              </w:rPr>
            </w:pPr>
            <w:r w:rsidRPr="00645542">
              <w:rPr>
                <w:b/>
              </w:rPr>
              <w:t>Documentation to Use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645542" w:rsidRPr="00645542" w:rsidRDefault="00645542">
            <w:pPr>
              <w:rPr>
                <w:b/>
              </w:rPr>
            </w:pPr>
            <w:r w:rsidRPr="00645542">
              <w:rPr>
                <w:b/>
              </w:rPr>
              <w:t>Type of Activity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645542" w:rsidRPr="00645542" w:rsidRDefault="00645542">
            <w:pPr>
              <w:rPr>
                <w:b/>
              </w:rPr>
            </w:pPr>
            <w:r w:rsidRPr="00645542">
              <w:rPr>
                <w:b/>
              </w:rPr>
              <w:t>Instructions and Reminders</w:t>
            </w:r>
          </w:p>
        </w:tc>
      </w:tr>
      <w:tr w:rsidR="00645542" w:rsidTr="009B56DD">
        <w:tc>
          <w:tcPr>
            <w:tcW w:w="2337" w:type="dxa"/>
          </w:tcPr>
          <w:p w:rsidR="00645542" w:rsidRDefault="00645542">
            <w:r w:rsidRPr="00645542">
              <w:rPr>
                <w:b/>
              </w:rPr>
              <w:t>FORM:</w:t>
            </w:r>
            <w:r>
              <w:t xml:space="preserve"> </w:t>
            </w:r>
            <w:hyperlink r:id="rId7" w:history="1">
              <w:r w:rsidRPr="004608DF">
                <w:rPr>
                  <w:rStyle w:val="Hyperlink"/>
                </w:rPr>
                <w:t>Individual Students Services Tracking Form</w:t>
              </w:r>
            </w:hyperlink>
            <w:bookmarkStart w:id="0" w:name="_GoBack"/>
            <w:bookmarkEnd w:id="0"/>
          </w:p>
        </w:tc>
        <w:tc>
          <w:tcPr>
            <w:tcW w:w="5488" w:type="dxa"/>
          </w:tcPr>
          <w:p w:rsidR="00645542" w:rsidRDefault="00645542" w:rsidP="00645542">
            <w:pPr>
              <w:pStyle w:val="ListParagraph"/>
              <w:numPr>
                <w:ilvl w:val="0"/>
                <w:numId w:val="1"/>
              </w:numPr>
            </w:pPr>
            <w:r w:rsidRPr="009E52D1">
              <w:rPr>
                <w:b/>
              </w:rPr>
              <w:t>One on one meetings</w:t>
            </w:r>
            <w:r>
              <w:t xml:space="preserve"> with students that provide direct services for 1:1 counseling, 1:1 comprehensive mentoring, financial aid and FAFSA completion. </w:t>
            </w:r>
          </w:p>
          <w:p w:rsidR="002A7EA3" w:rsidRDefault="002A7EA3" w:rsidP="00645542">
            <w:pPr>
              <w:pStyle w:val="ListParagraph"/>
              <w:numPr>
                <w:ilvl w:val="0"/>
                <w:numId w:val="1"/>
              </w:numPr>
            </w:pPr>
            <w:r w:rsidRPr="00890949">
              <w:rPr>
                <w:b/>
              </w:rPr>
              <w:t>Individualized tutoring</w:t>
            </w:r>
            <w:r>
              <w:t xml:space="preserve"> to a single student, in or out of class.</w:t>
            </w:r>
          </w:p>
          <w:p w:rsidR="002A7EA3" w:rsidRDefault="002A7EA3" w:rsidP="00645542">
            <w:pPr>
              <w:pStyle w:val="ListParagraph"/>
              <w:numPr>
                <w:ilvl w:val="0"/>
                <w:numId w:val="1"/>
              </w:numPr>
            </w:pPr>
            <w:r w:rsidRPr="00890949">
              <w:rPr>
                <w:b/>
              </w:rPr>
              <w:t>Individual assessment taking</w:t>
            </w:r>
            <w:r>
              <w:t xml:space="preserve">, such as a college entrance exam, ACT, SAT, ASVAB, etc. </w:t>
            </w:r>
          </w:p>
          <w:p w:rsidR="002A7EA3" w:rsidRDefault="002A7EA3" w:rsidP="006455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90949">
              <w:rPr>
                <w:b/>
              </w:rPr>
              <w:t>Individual Job Shadows</w:t>
            </w:r>
            <w:r w:rsidR="00890949">
              <w:rPr>
                <w:b/>
              </w:rPr>
              <w:t>.</w:t>
            </w:r>
            <w:r w:rsidRPr="00890949">
              <w:rPr>
                <w:b/>
              </w:rPr>
              <w:t xml:space="preserve"> </w:t>
            </w:r>
          </w:p>
          <w:p w:rsidR="00992550" w:rsidRPr="00890949" w:rsidRDefault="00992550" w:rsidP="006455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Individual Parent Meetings/Contacts</w:t>
            </w:r>
          </w:p>
          <w:p w:rsidR="00E16AFC" w:rsidRDefault="00E16AFC" w:rsidP="00E16AFC">
            <w:pPr>
              <w:pStyle w:val="ListParagraph"/>
              <w:ind w:left="360"/>
            </w:pPr>
          </w:p>
        </w:tc>
        <w:tc>
          <w:tcPr>
            <w:tcW w:w="6570" w:type="dxa"/>
          </w:tcPr>
          <w:p w:rsidR="002A7EA3" w:rsidRDefault="00645542" w:rsidP="00645542">
            <w:pPr>
              <w:pStyle w:val="ListParagraph"/>
              <w:numPr>
                <w:ilvl w:val="0"/>
                <w:numId w:val="2"/>
              </w:numPr>
            </w:pPr>
            <w:r>
              <w:t xml:space="preserve">All fields of the form must be completed by staff. </w:t>
            </w:r>
          </w:p>
          <w:p w:rsidR="00645542" w:rsidRDefault="00645542" w:rsidP="00645542">
            <w:pPr>
              <w:pStyle w:val="ListParagraph"/>
              <w:numPr>
                <w:ilvl w:val="0"/>
                <w:numId w:val="2"/>
              </w:numPr>
            </w:pPr>
            <w:r>
              <w:t>No student signatures required.</w:t>
            </w:r>
          </w:p>
          <w:p w:rsidR="00645542" w:rsidRDefault="00645542" w:rsidP="002A7EA3">
            <w:pPr>
              <w:pStyle w:val="ListParagraph"/>
              <w:numPr>
                <w:ilvl w:val="0"/>
                <w:numId w:val="2"/>
              </w:numPr>
            </w:pPr>
            <w:r>
              <w:t>No agenda required.</w:t>
            </w:r>
          </w:p>
          <w:p w:rsidR="00247073" w:rsidRDefault="00247073" w:rsidP="002A7EA3">
            <w:pPr>
              <w:pStyle w:val="ListParagraph"/>
              <w:numPr>
                <w:ilvl w:val="0"/>
                <w:numId w:val="2"/>
              </w:numPr>
            </w:pPr>
            <w:r>
              <w:t xml:space="preserve">Tutoring types should be listed by content area. </w:t>
            </w:r>
          </w:p>
          <w:p w:rsidR="002A7EA3" w:rsidRDefault="002A7EA3" w:rsidP="002A7EA3">
            <w:pPr>
              <w:pStyle w:val="ListParagraph"/>
              <w:numPr>
                <w:ilvl w:val="0"/>
                <w:numId w:val="2"/>
              </w:numPr>
            </w:pPr>
            <w:r>
              <w:t xml:space="preserve">For Job Shadowing and testing, no travel time should be counted when entering activity in Portal. </w:t>
            </w:r>
          </w:p>
        </w:tc>
      </w:tr>
      <w:tr w:rsidR="002A7EA3" w:rsidTr="009B56DD">
        <w:tc>
          <w:tcPr>
            <w:tcW w:w="2337" w:type="dxa"/>
          </w:tcPr>
          <w:p w:rsidR="002A7EA3" w:rsidRPr="00D7525B" w:rsidRDefault="002A7EA3">
            <w:r>
              <w:rPr>
                <w:b/>
              </w:rPr>
              <w:t xml:space="preserve">FORM: </w:t>
            </w:r>
            <w:hyperlink r:id="rId8" w:history="1">
              <w:r w:rsidR="00B55EB0" w:rsidRPr="00B55EB0">
                <w:rPr>
                  <w:rStyle w:val="Hyperlink"/>
                </w:rPr>
                <w:t>Student Event Participation Log</w:t>
              </w:r>
            </w:hyperlink>
          </w:p>
        </w:tc>
        <w:tc>
          <w:tcPr>
            <w:tcW w:w="5488" w:type="dxa"/>
          </w:tcPr>
          <w:p w:rsidR="002A7EA3" w:rsidRPr="00890949" w:rsidRDefault="00247073" w:rsidP="0024707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90949">
              <w:rPr>
                <w:b/>
              </w:rPr>
              <w:t xml:space="preserve">After school tutoring, or similar activities. </w:t>
            </w:r>
          </w:p>
          <w:p w:rsidR="0049174A" w:rsidRDefault="00247073" w:rsidP="00992550">
            <w:pPr>
              <w:pStyle w:val="ListParagraph"/>
              <w:numPr>
                <w:ilvl w:val="0"/>
                <w:numId w:val="3"/>
              </w:numPr>
            </w:pPr>
            <w:r w:rsidRPr="00890949">
              <w:rPr>
                <w:b/>
              </w:rPr>
              <w:t>Direct services to students in a classroom setting</w:t>
            </w:r>
            <w:r w:rsidR="00431F0D">
              <w:rPr>
                <w:b/>
              </w:rPr>
              <w:t xml:space="preserve">- </w:t>
            </w:r>
            <w:r w:rsidRPr="00431F0D">
              <w:t>Activities with small groups of students</w:t>
            </w:r>
            <w:r>
              <w:t xml:space="preserve"> that meet the definition of Counseling (CAAPCC), comprehensive </w:t>
            </w:r>
            <w:proofErr w:type="gramStart"/>
            <w:r>
              <w:t>mentoring,  financial</w:t>
            </w:r>
            <w:proofErr w:type="gramEnd"/>
            <w:r>
              <w:t xml:space="preserve"> aid counseling</w:t>
            </w:r>
            <w:r w:rsidR="00992550">
              <w:t xml:space="preserve"> or student workshop</w:t>
            </w:r>
            <w:r>
              <w:t>.</w:t>
            </w:r>
            <w:r w:rsidR="00171375">
              <w:t xml:space="preserve"> </w:t>
            </w:r>
            <w:r w:rsidR="00E13B62">
              <w:t xml:space="preserve"> </w:t>
            </w:r>
          </w:p>
          <w:p w:rsidR="00247073" w:rsidRDefault="00247073" w:rsidP="00247073">
            <w:pPr>
              <w:pStyle w:val="ListParagraph"/>
              <w:numPr>
                <w:ilvl w:val="0"/>
                <w:numId w:val="3"/>
              </w:numPr>
            </w:pPr>
            <w:r w:rsidRPr="00890949">
              <w:rPr>
                <w:b/>
              </w:rPr>
              <w:t>All field trips including college visits, job site visits, etc.</w:t>
            </w:r>
            <w:r w:rsidR="00171375">
              <w:t xml:space="preserve"> If a cash meal allowance is provided to students, you must also complete the “Cash Meal Allowance Form”. </w:t>
            </w:r>
          </w:p>
          <w:p w:rsidR="00247073" w:rsidRDefault="00247073" w:rsidP="00247073">
            <w:pPr>
              <w:pStyle w:val="ListParagraph"/>
              <w:numPr>
                <w:ilvl w:val="0"/>
                <w:numId w:val="3"/>
              </w:numPr>
            </w:pPr>
            <w:r w:rsidRPr="00890949">
              <w:rPr>
                <w:b/>
              </w:rPr>
              <w:t>Group assessment testing</w:t>
            </w:r>
            <w:r>
              <w:t xml:space="preserve">, such as the ACT, SAT, PSAT, Aspire, ASVAB, Accuplacer or other college entrance exam. </w:t>
            </w:r>
          </w:p>
          <w:p w:rsidR="00E16AFC" w:rsidRDefault="00E16AFC" w:rsidP="00E16AFC">
            <w:pPr>
              <w:pStyle w:val="ListParagraph"/>
              <w:ind w:left="360"/>
            </w:pPr>
          </w:p>
        </w:tc>
        <w:tc>
          <w:tcPr>
            <w:tcW w:w="6570" w:type="dxa"/>
          </w:tcPr>
          <w:p w:rsidR="0049174A" w:rsidRDefault="0049174A" w:rsidP="00645542">
            <w:pPr>
              <w:pStyle w:val="ListParagraph"/>
              <w:numPr>
                <w:ilvl w:val="0"/>
                <w:numId w:val="2"/>
              </w:numPr>
            </w:pPr>
            <w:r>
              <w:t xml:space="preserve">All student signatures are required to verify attendance. </w:t>
            </w:r>
          </w:p>
          <w:p w:rsidR="0049174A" w:rsidRDefault="0049174A" w:rsidP="00645542">
            <w:pPr>
              <w:pStyle w:val="ListParagraph"/>
              <w:numPr>
                <w:ilvl w:val="0"/>
                <w:numId w:val="2"/>
              </w:numPr>
            </w:pPr>
            <w:r>
              <w:t xml:space="preserve">Activity agendas are </w:t>
            </w:r>
            <w:r w:rsidR="00992550">
              <w:t xml:space="preserve">required or all group presentations, lessons, and activities. </w:t>
            </w:r>
          </w:p>
          <w:p w:rsidR="002A7EA3" w:rsidRDefault="0049174A" w:rsidP="00645542">
            <w:pPr>
              <w:pStyle w:val="ListParagraph"/>
              <w:numPr>
                <w:ilvl w:val="0"/>
                <w:numId w:val="2"/>
              </w:numPr>
            </w:pPr>
            <w:r>
              <w:t xml:space="preserve">You may print a blank </w:t>
            </w:r>
            <w:r w:rsidR="00171375">
              <w:t xml:space="preserve">sign in </w:t>
            </w:r>
            <w:r>
              <w:t xml:space="preserve">form from gearup.wa.gov, or you can </w:t>
            </w:r>
            <w:r w:rsidR="00171375">
              <w:t>create</w:t>
            </w:r>
            <w:r>
              <w:t xml:space="preserve"> the </w:t>
            </w:r>
            <w:r w:rsidR="00171375">
              <w:t>activity</w:t>
            </w:r>
            <w:r>
              <w:t xml:space="preserve"> in the Portal and use the “Print Me” option there to print the roster, with or without the student name</w:t>
            </w:r>
            <w:r w:rsidR="00171375">
              <w:t>s</w:t>
            </w:r>
            <w:r>
              <w:t xml:space="preserve"> on it.  </w:t>
            </w:r>
          </w:p>
          <w:p w:rsidR="00171375" w:rsidRDefault="00171375" w:rsidP="00171375"/>
        </w:tc>
      </w:tr>
      <w:tr w:rsidR="0081677D" w:rsidTr="009B56DD">
        <w:tc>
          <w:tcPr>
            <w:tcW w:w="2337" w:type="dxa"/>
          </w:tcPr>
          <w:p w:rsidR="0081677D" w:rsidRDefault="0081677D" w:rsidP="0081677D">
            <w:r>
              <w:rPr>
                <w:b/>
              </w:rPr>
              <w:t xml:space="preserve">NO FORM: Documentation Required: </w:t>
            </w:r>
            <w:r w:rsidRPr="00171375">
              <w:t>Daily School Attendance Log and Activity Agenda</w:t>
            </w:r>
          </w:p>
          <w:p w:rsidR="00E16AFC" w:rsidRPr="00171375" w:rsidRDefault="00E16AFC" w:rsidP="0081677D"/>
        </w:tc>
        <w:tc>
          <w:tcPr>
            <w:tcW w:w="5488" w:type="dxa"/>
          </w:tcPr>
          <w:p w:rsidR="0081677D" w:rsidRDefault="0081677D" w:rsidP="0081677D">
            <w:pPr>
              <w:pStyle w:val="ListParagraph"/>
              <w:numPr>
                <w:ilvl w:val="0"/>
                <w:numId w:val="4"/>
              </w:numPr>
            </w:pPr>
            <w:r w:rsidRPr="00890949">
              <w:rPr>
                <w:b/>
              </w:rPr>
              <w:t>Large group activities</w:t>
            </w:r>
            <w:r>
              <w:t xml:space="preserve"> where all students receive the same information such as a school-wide assembly with a guest speaker, or a College &amp; Career fair held on school grounds. May include student orientation. </w:t>
            </w:r>
          </w:p>
          <w:p w:rsidR="00B4194C" w:rsidRDefault="00992550" w:rsidP="00B4194C">
            <w:pPr>
              <w:pStyle w:val="ListParagraph"/>
              <w:numPr>
                <w:ilvl w:val="0"/>
                <w:numId w:val="4"/>
              </w:numPr>
            </w:pPr>
            <w:r w:rsidRPr="00890949">
              <w:rPr>
                <w:b/>
              </w:rPr>
              <w:t xml:space="preserve">Classroom activities where all students receive the same information. </w:t>
            </w:r>
            <w:r>
              <w:t>May include student orientation</w:t>
            </w:r>
          </w:p>
          <w:p w:rsidR="00992550" w:rsidRDefault="00992550" w:rsidP="00992550">
            <w:pPr>
              <w:pStyle w:val="ListParagraph"/>
              <w:ind w:left="360"/>
            </w:pPr>
          </w:p>
        </w:tc>
        <w:tc>
          <w:tcPr>
            <w:tcW w:w="6570" w:type="dxa"/>
          </w:tcPr>
          <w:p w:rsidR="0081677D" w:rsidRDefault="0081677D" w:rsidP="0081677D">
            <w:pPr>
              <w:pStyle w:val="ListParagraph"/>
              <w:numPr>
                <w:ilvl w:val="0"/>
                <w:numId w:val="2"/>
              </w:numPr>
            </w:pPr>
            <w:r>
              <w:t>Student signatures are not required.</w:t>
            </w:r>
          </w:p>
          <w:p w:rsidR="0081677D" w:rsidRDefault="0081677D" w:rsidP="0081677D">
            <w:pPr>
              <w:pStyle w:val="ListParagraph"/>
              <w:numPr>
                <w:ilvl w:val="0"/>
                <w:numId w:val="2"/>
              </w:numPr>
            </w:pPr>
            <w:r>
              <w:t xml:space="preserve">Agenda for the activity must be attached to the attendance log. </w:t>
            </w:r>
          </w:p>
          <w:p w:rsidR="008A20E3" w:rsidRDefault="0081677D" w:rsidP="008A20E3">
            <w:pPr>
              <w:pStyle w:val="ListParagraph"/>
              <w:numPr>
                <w:ilvl w:val="0"/>
                <w:numId w:val="2"/>
              </w:numPr>
            </w:pPr>
            <w:r>
              <w:t xml:space="preserve">Confirm that students that have been marked absent for the day are not entered in the Portal. </w:t>
            </w:r>
          </w:p>
          <w:p w:rsidR="009B56DD" w:rsidRDefault="009B56DD" w:rsidP="009B56DD"/>
          <w:p w:rsidR="009B56DD" w:rsidRDefault="009B56DD" w:rsidP="009B56DD"/>
          <w:p w:rsidR="009B56DD" w:rsidRDefault="009B56DD" w:rsidP="009B56DD"/>
        </w:tc>
      </w:tr>
      <w:tr w:rsidR="009B56DD" w:rsidTr="009B56DD">
        <w:tc>
          <w:tcPr>
            <w:tcW w:w="2337" w:type="dxa"/>
          </w:tcPr>
          <w:p w:rsidR="009B56DD" w:rsidRPr="00645542" w:rsidRDefault="009B56DD" w:rsidP="009B56DD">
            <w:pPr>
              <w:rPr>
                <w:b/>
              </w:rPr>
            </w:pPr>
            <w:r w:rsidRPr="00645542">
              <w:rPr>
                <w:b/>
              </w:rPr>
              <w:lastRenderedPageBreak/>
              <w:t>Documentation to Use</w:t>
            </w:r>
          </w:p>
        </w:tc>
        <w:tc>
          <w:tcPr>
            <w:tcW w:w="5488" w:type="dxa"/>
          </w:tcPr>
          <w:p w:rsidR="009B56DD" w:rsidRPr="00645542" w:rsidRDefault="009B56DD" w:rsidP="009B56DD">
            <w:pPr>
              <w:rPr>
                <w:b/>
              </w:rPr>
            </w:pPr>
            <w:r w:rsidRPr="00645542">
              <w:rPr>
                <w:b/>
              </w:rPr>
              <w:t>Type of Activity</w:t>
            </w:r>
          </w:p>
        </w:tc>
        <w:tc>
          <w:tcPr>
            <w:tcW w:w="6570" w:type="dxa"/>
          </w:tcPr>
          <w:p w:rsidR="009B56DD" w:rsidRPr="00645542" w:rsidRDefault="009B56DD" w:rsidP="009B56DD">
            <w:pPr>
              <w:rPr>
                <w:b/>
              </w:rPr>
            </w:pPr>
            <w:r w:rsidRPr="00645542">
              <w:rPr>
                <w:b/>
              </w:rPr>
              <w:t>Instructions and Reminders</w:t>
            </w:r>
          </w:p>
        </w:tc>
      </w:tr>
      <w:tr w:rsidR="009B56DD" w:rsidTr="009B56DD">
        <w:tc>
          <w:tcPr>
            <w:tcW w:w="2337" w:type="dxa"/>
          </w:tcPr>
          <w:p w:rsidR="009B56DD" w:rsidRDefault="009B56DD" w:rsidP="009B56DD">
            <w:r>
              <w:rPr>
                <w:b/>
              </w:rPr>
              <w:t xml:space="preserve">NO FORM: Documentation Required: </w:t>
            </w:r>
            <w:r>
              <w:t>Receipts or invoice only with student names attached</w:t>
            </w:r>
          </w:p>
          <w:p w:rsidR="009B56DD" w:rsidRPr="003969E9" w:rsidRDefault="009B56DD" w:rsidP="009B56DD"/>
        </w:tc>
        <w:tc>
          <w:tcPr>
            <w:tcW w:w="5488" w:type="dxa"/>
          </w:tcPr>
          <w:p w:rsidR="009B56DD" w:rsidRPr="00890949" w:rsidRDefault="009B56DD" w:rsidP="009B56D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90949">
              <w:rPr>
                <w:b/>
              </w:rPr>
              <w:t xml:space="preserve">Other – Fee Only and Summer – Fee Only. 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5"/>
              </w:numPr>
            </w:pPr>
            <w:r w:rsidRPr="00570BED">
              <w:rPr>
                <w:b/>
              </w:rPr>
              <w:t>Fees paid on behalf of students</w:t>
            </w:r>
            <w:r>
              <w:t xml:space="preserve">, but no direct service is provided by GEAR UP. </w:t>
            </w:r>
          </w:p>
        </w:tc>
        <w:tc>
          <w:tcPr>
            <w:tcW w:w="6570" w:type="dxa"/>
          </w:tcPr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 xml:space="preserve">Submitted with the A19. </w:t>
            </w:r>
          </w:p>
        </w:tc>
      </w:tr>
      <w:tr w:rsidR="009B56DD" w:rsidTr="009B56DD">
        <w:tc>
          <w:tcPr>
            <w:tcW w:w="2337" w:type="dxa"/>
          </w:tcPr>
          <w:p w:rsidR="009B56DD" w:rsidRPr="00171375" w:rsidRDefault="009B56DD" w:rsidP="009B56DD">
            <w:r>
              <w:rPr>
                <w:b/>
              </w:rPr>
              <w:t xml:space="preserve">FORM: </w:t>
            </w:r>
            <w:hyperlink r:id="rId9" w:history="1">
              <w:r w:rsidRPr="00B55EB0">
                <w:rPr>
                  <w:rStyle w:val="Hyperlink"/>
                </w:rPr>
                <w:t>Family Event Participation Log</w:t>
              </w:r>
            </w:hyperlink>
          </w:p>
        </w:tc>
        <w:tc>
          <w:tcPr>
            <w:tcW w:w="5488" w:type="dxa"/>
          </w:tcPr>
          <w:p w:rsidR="009B56DD" w:rsidRDefault="009B56DD" w:rsidP="009B56DD">
            <w:pPr>
              <w:pStyle w:val="ListParagraph"/>
              <w:numPr>
                <w:ilvl w:val="0"/>
                <w:numId w:val="8"/>
              </w:numPr>
            </w:pPr>
            <w:r w:rsidRPr="00890949">
              <w:rPr>
                <w:b/>
              </w:rPr>
              <w:t>All group events that include family members</w:t>
            </w:r>
            <w:r>
              <w:t xml:space="preserve">. </w:t>
            </w:r>
          </w:p>
        </w:tc>
        <w:tc>
          <w:tcPr>
            <w:tcW w:w="6570" w:type="dxa"/>
          </w:tcPr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>Activity Agenda is required.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 w:rsidRPr="00D57A0E">
              <w:rPr>
                <w:u w:val="single"/>
              </w:rPr>
              <w:t>Students and all adult family members</w:t>
            </w:r>
            <w:r>
              <w:t xml:space="preserve"> are required to sign in to verify attendance. Other siblings are not required to sign in.</w:t>
            </w:r>
          </w:p>
          <w:p w:rsidR="009B56DD" w:rsidRDefault="009B56DD" w:rsidP="009B56DD">
            <w:pPr>
              <w:pStyle w:val="ListParagraph"/>
              <w:ind w:left="360"/>
            </w:pPr>
          </w:p>
        </w:tc>
      </w:tr>
      <w:tr w:rsidR="009B56DD" w:rsidTr="009B56DD">
        <w:tc>
          <w:tcPr>
            <w:tcW w:w="2337" w:type="dxa"/>
          </w:tcPr>
          <w:p w:rsidR="009B56DD" w:rsidRPr="000A75A1" w:rsidRDefault="009B56DD" w:rsidP="009B56DD">
            <w:r>
              <w:rPr>
                <w:b/>
              </w:rPr>
              <w:t xml:space="preserve">FORM: </w:t>
            </w:r>
            <w:hyperlink r:id="rId10" w:history="1">
              <w:r w:rsidRPr="00B55EB0">
                <w:rPr>
                  <w:rStyle w:val="Hyperlink"/>
                </w:rPr>
                <w:t>Advisory Committee Participation Log</w:t>
              </w:r>
            </w:hyperlink>
          </w:p>
        </w:tc>
        <w:tc>
          <w:tcPr>
            <w:tcW w:w="5488" w:type="dxa"/>
          </w:tcPr>
          <w:p w:rsidR="009B56DD" w:rsidRPr="00890949" w:rsidRDefault="009B56DD" w:rsidP="009B56D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90949">
              <w:rPr>
                <w:b/>
              </w:rPr>
              <w:t>Participation in all GEAR UP advisory committee meetings.</w:t>
            </w:r>
          </w:p>
        </w:tc>
        <w:tc>
          <w:tcPr>
            <w:tcW w:w="6570" w:type="dxa"/>
          </w:tcPr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>Advisory committee meetings must be entered in the Portal under the Professional Development tab.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 xml:space="preserve">Include all names, signatures, organization, and an email or phone number. 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>The log must match the Expenditure Detail Form for attendance when food is provided. Light refreshments only can be provided if in your budget.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>Agenda is required.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 xml:space="preserve">Keep all back up in your records, do not submit form to WSAC unless requested. Subject to audit review. </w:t>
            </w:r>
          </w:p>
          <w:p w:rsidR="009B56DD" w:rsidRDefault="009B56DD" w:rsidP="009B56DD">
            <w:pPr>
              <w:pStyle w:val="ListParagraph"/>
              <w:ind w:left="360"/>
            </w:pPr>
          </w:p>
        </w:tc>
      </w:tr>
      <w:tr w:rsidR="009B56DD" w:rsidTr="009B56DD">
        <w:tc>
          <w:tcPr>
            <w:tcW w:w="2337" w:type="dxa"/>
          </w:tcPr>
          <w:p w:rsidR="009B56DD" w:rsidRPr="00D90BBB" w:rsidRDefault="009B56DD" w:rsidP="009B56DD">
            <w:r>
              <w:rPr>
                <w:b/>
              </w:rPr>
              <w:t xml:space="preserve">FORM: </w:t>
            </w:r>
            <w:hyperlink r:id="rId11" w:history="1">
              <w:r w:rsidRPr="00B55EB0">
                <w:rPr>
                  <w:rStyle w:val="Hyperlink"/>
                </w:rPr>
                <w:t>Professional Development Participation Log</w:t>
              </w:r>
            </w:hyperlink>
          </w:p>
        </w:tc>
        <w:tc>
          <w:tcPr>
            <w:tcW w:w="5488" w:type="dxa"/>
          </w:tcPr>
          <w:p w:rsidR="009B56DD" w:rsidRDefault="009B56DD" w:rsidP="009B56DD">
            <w:pPr>
              <w:pStyle w:val="ListParagraph"/>
              <w:numPr>
                <w:ilvl w:val="0"/>
                <w:numId w:val="7"/>
              </w:numPr>
            </w:pPr>
            <w:r w:rsidRPr="00890949">
              <w:rPr>
                <w:b/>
              </w:rPr>
              <w:t>Participation in all professional development events</w:t>
            </w:r>
            <w:r>
              <w:t xml:space="preserve"> </w:t>
            </w:r>
            <w:r w:rsidRPr="00890949">
              <w:rPr>
                <w:b/>
              </w:rPr>
              <w:t>that are listed in the work plan,</w:t>
            </w:r>
            <w:r>
              <w:t xml:space="preserve"> such as WOIS training, or the AVID summer institute, etc. </w:t>
            </w:r>
          </w:p>
          <w:p w:rsidR="009B56DD" w:rsidRDefault="009B56DD" w:rsidP="009B56DD">
            <w:pPr>
              <w:pStyle w:val="ListParagraph"/>
              <w:ind w:left="360"/>
            </w:pPr>
          </w:p>
        </w:tc>
        <w:tc>
          <w:tcPr>
            <w:tcW w:w="6570" w:type="dxa"/>
          </w:tcPr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>Training agenda required.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 xml:space="preserve">All attendees are required to sign in. 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 xml:space="preserve">Keep this form on file, do not submit to WSAC unless requested. </w:t>
            </w:r>
          </w:p>
          <w:p w:rsidR="009B56DD" w:rsidRDefault="009B56DD" w:rsidP="009B56DD">
            <w:pPr>
              <w:pStyle w:val="ListParagraph"/>
              <w:numPr>
                <w:ilvl w:val="0"/>
                <w:numId w:val="2"/>
              </w:numPr>
            </w:pPr>
            <w:r>
              <w:t>Not needed for GEAR UP led professional development workshops or the GUW conference.</w:t>
            </w:r>
          </w:p>
          <w:p w:rsidR="009B56DD" w:rsidRDefault="009B56DD" w:rsidP="009B56DD">
            <w:pPr>
              <w:pStyle w:val="ListParagraph"/>
              <w:ind w:left="360"/>
            </w:pPr>
          </w:p>
        </w:tc>
      </w:tr>
    </w:tbl>
    <w:p w:rsidR="00104131" w:rsidRDefault="00104131"/>
    <w:sectPr w:rsidR="00104131" w:rsidSect="00B4194C">
      <w:headerReference w:type="default" r:id="rId12"/>
      <w:footerReference w:type="default" r:id="rId13"/>
      <w:pgSz w:w="15840" w:h="12240" w:orient="landscape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1A" w:rsidRDefault="00694F1A" w:rsidP="00430630">
      <w:pPr>
        <w:spacing w:after="0" w:line="240" w:lineRule="auto"/>
      </w:pPr>
      <w:r>
        <w:separator/>
      </w:r>
    </w:p>
  </w:endnote>
  <w:endnote w:type="continuationSeparator" w:id="0">
    <w:p w:rsidR="00694F1A" w:rsidRDefault="00694F1A" w:rsidP="0043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98" w:rsidRDefault="002D3B98">
    <w:pPr>
      <w:pStyle w:val="Footer"/>
    </w:pPr>
    <w:r>
      <w:t>Revised September 27, 2019</w:t>
    </w:r>
  </w:p>
  <w:p w:rsidR="002D3B98" w:rsidRDefault="002D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1A" w:rsidRDefault="00694F1A" w:rsidP="00430630">
      <w:pPr>
        <w:spacing w:after="0" w:line="240" w:lineRule="auto"/>
      </w:pPr>
      <w:r>
        <w:separator/>
      </w:r>
    </w:p>
  </w:footnote>
  <w:footnote w:type="continuationSeparator" w:id="0">
    <w:p w:rsidR="00694F1A" w:rsidRDefault="00694F1A" w:rsidP="0043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630" w:rsidRDefault="00430630" w:rsidP="00430630">
    <w:pPr>
      <w:rPr>
        <w:rFonts w:ascii="Tw Cen MT" w:hAnsi="Tw Cen MT"/>
        <w:b/>
        <w:sz w:val="40"/>
        <w:szCs w:val="40"/>
      </w:rPr>
    </w:pPr>
    <w:r>
      <w:rPr>
        <w:noProof/>
      </w:rPr>
      <w:drawing>
        <wp:inline distT="0" distB="0" distL="0" distR="0" wp14:anchorId="4ECD9E75" wp14:editId="4144DAC7">
          <wp:extent cx="1296785" cy="457200"/>
          <wp:effectExtent l="0" t="0" r="0" b="0"/>
          <wp:docPr id="6" name="Picture 0" descr="GearUp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7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6C8B">
      <w:rPr>
        <w:rFonts w:ascii="Tw Cen MT" w:hAnsi="Tw Cen MT"/>
        <w:b/>
        <w:sz w:val="40"/>
        <w:szCs w:val="40"/>
      </w:rPr>
      <w:t xml:space="preserve"> </w:t>
    </w:r>
    <w:r>
      <w:rPr>
        <w:rFonts w:ascii="Tw Cen MT" w:hAnsi="Tw Cen MT"/>
        <w:b/>
        <w:sz w:val="40"/>
        <w:szCs w:val="40"/>
      </w:rPr>
      <w:t xml:space="preserve">                                  </w:t>
    </w:r>
    <w:r w:rsidRPr="00D06C8B">
      <w:rPr>
        <w:rFonts w:ascii="Tw Cen MT" w:hAnsi="Tw Cen MT"/>
        <w:b/>
        <w:sz w:val="40"/>
        <w:szCs w:val="40"/>
      </w:rPr>
      <w:t>GEAR UP Activities Documentation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4A5"/>
    <w:multiLevelType w:val="hybridMultilevel"/>
    <w:tmpl w:val="C06A54F6"/>
    <w:lvl w:ilvl="0" w:tplc="B5089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90DF2"/>
    <w:multiLevelType w:val="hybridMultilevel"/>
    <w:tmpl w:val="02CEE974"/>
    <w:lvl w:ilvl="0" w:tplc="B9A69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703B4"/>
    <w:multiLevelType w:val="hybridMultilevel"/>
    <w:tmpl w:val="CF7ED112"/>
    <w:lvl w:ilvl="0" w:tplc="303CF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35453"/>
    <w:multiLevelType w:val="hybridMultilevel"/>
    <w:tmpl w:val="178CB53A"/>
    <w:lvl w:ilvl="0" w:tplc="F6FA75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57FDA"/>
    <w:multiLevelType w:val="hybridMultilevel"/>
    <w:tmpl w:val="5374DF7C"/>
    <w:lvl w:ilvl="0" w:tplc="33220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674B4"/>
    <w:multiLevelType w:val="hybridMultilevel"/>
    <w:tmpl w:val="38EABB2A"/>
    <w:lvl w:ilvl="0" w:tplc="B4247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C75AF"/>
    <w:multiLevelType w:val="hybridMultilevel"/>
    <w:tmpl w:val="C06A54F6"/>
    <w:lvl w:ilvl="0" w:tplc="B5089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EF147B"/>
    <w:multiLevelType w:val="hybridMultilevel"/>
    <w:tmpl w:val="EEDC0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42"/>
    <w:rsid w:val="000563C3"/>
    <w:rsid w:val="000A75A1"/>
    <w:rsid w:val="00104131"/>
    <w:rsid w:val="00171375"/>
    <w:rsid w:val="00217DCB"/>
    <w:rsid w:val="002456F1"/>
    <w:rsid w:val="00247073"/>
    <w:rsid w:val="002654F1"/>
    <w:rsid w:val="002A7EA3"/>
    <w:rsid w:val="002D3B98"/>
    <w:rsid w:val="003969E9"/>
    <w:rsid w:val="00430630"/>
    <w:rsid w:val="00431F0D"/>
    <w:rsid w:val="004608DF"/>
    <w:rsid w:val="0049174A"/>
    <w:rsid w:val="00570BED"/>
    <w:rsid w:val="0060615A"/>
    <w:rsid w:val="00645542"/>
    <w:rsid w:val="00694F1A"/>
    <w:rsid w:val="0081677D"/>
    <w:rsid w:val="00890949"/>
    <w:rsid w:val="008A20E3"/>
    <w:rsid w:val="00992550"/>
    <w:rsid w:val="009B56DD"/>
    <w:rsid w:val="009E52D1"/>
    <w:rsid w:val="00B17014"/>
    <w:rsid w:val="00B4194C"/>
    <w:rsid w:val="00B55EB0"/>
    <w:rsid w:val="00CE1F87"/>
    <w:rsid w:val="00D22E81"/>
    <w:rsid w:val="00D57A0E"/>
    <w:rsid w:val="00D7525B"/>
    <w:rsid w:val="00D90BBB"/>
    <w:rsid w:val="00E13B62"/>
    <w:rsid w:val="00E16AFC"/>
    <w:rsid w:val="00E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5BAB"/>
  <w15:chartTrackingRefBased/>
  <w15:docId w15:val="{5E8426CA-7551-4D6C-A4C8-D198869A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8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30"/>
  </w:style>
  <w:style w:type="paragraph" w:styleId="Footer">
    <w:name w:val="footer"/>
    <w:basedOn w:val="Normal"/>
    <w:link w:val="FooterChar"/>
    <w:uiPriority w:val="99"/>
    <w:unhideWhenUsed/>
    <w:rsid w:val="0043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30"/>
  </w:style>
  <w:style w:type="paragraph" w:styleId="BalloonText">
    <w:name w:val="Balloon Text"/>
    <w:basedOn w:val="Normal"/>
    <w:link w:val="BalloonTextChar"/>
    <w:uiPriority w:val="99"/>
    <w:semiHidden/>
    <w:unhideWhenUsed/>
    <w:rsid w:val="0043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arup.wa.gov/file/form-student-event-participation-lo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earup.wa.gov/file/form-individual-student-services-track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arup.wa.gov/file/form-professional-development-participation-lo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arup.wa.gov/file/form-advisory-committee-meeting-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arup.wa.gov/file/form-family-event-participation-lo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Kelly (WSAC)</dc:creator>
  <cp:keywords/>
  <dc:description/>
  <cp:lastModifiedBy>Keeney, Kelly (WSAC)</cp:lastModifiedBy>
  <cp:revision>21</cp:revision>
  <dcterms:created xsi:type="dcterms:W3CDTF">2019-09-16T14:39:00Z</dcterms:created>
  <dcterms:modified xsi:type="dcterms:W3CDTF">2019-09-27T14:16:00Z</dcterms:modified>
</cp:coreProperties>
</file>